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FAF4" w14:textId="27AA5755" w:rsidR="00CA7831" w:rsidRPr="001A59D0" w:rsidRDefault="003B6F86">
      <w:pPr>
        <w:rPr>
          <w:rFonts w:cstheme="minorHAnsi"/>
          <w:sz w:val="24"/>
          <w:szCs w:val="24"/>
        </w:rPr>
      </w:pPr>
      <w:r w:rsidRPr="001A59D0">
        <w:rPr>
          <w:rFonts w:cstheme="minorHAnsi"/>
          <w:sz w:val="24"/>
          <w:szCs w:val="24"/>
        </w:rPr>
        <w:t>Proposal for the Diversity/Forensic Accounting Journal</w:t>
      </w:r>
      <w:r w:rsidR="006D7299">
        <w:rPr>
          <w:rFonts w:cstheme="minorHAnsi"/>
          <w:sz w:val="24"/>
          <w:szCs w:val="24"/>
        </w:rPr>
        <w:t xml:space="preserve"> – Prosecuting Attorney Gender and Governmental Auditor Recommendations </w:t>
      </w:r>
    </w:p>
    <w:p w14:paraId="7FFE03B8" w14:textId="29407A1E" w:rsidR="00445D5E" w:rsidRPr="001A59D0" w:rsidRDefault="00741BCD">
      <w:pPr>
        <w:rPr>
          <w:rFonts w:cstheme="minorHAnsi"/>
          <w:sz w:val="24"/>
          <w:szCs w:val="24"/>
        </w:rPr>
      </w:pPr>
      <w:r w:rsidRPr="001A59D0">
        <w:rPr>
          <w:rFonts w:cstheme="minorHAnsi"/>
          <w:sz w:val="24"/>
          <w:szCs w:val="24"/>
        </w:rPr>
        <w:t>The criminal justice system relies on people to determine if fellow members of society have broken the law and require punishment. Juries, attorneys, judges, and defendants have been examined for the role that race and gender play within the court system</w:t>
      </w:r>
      <w:r w:rsidR="009729EB" w:rsidRPr="001A59D0">
        <w:rPr>
          <w:rFonts w:cstheme="minorHAnsi"/>
          <w:sz w:val="24"/>
          <w:szCs w:val="24"/>
        </w:rPr>
        <w:t xml:space="preserve"> (Wright and </w:t>
      </w:r>
      <w:proofErr w:type="spellStart"/>
      <w:r w:rsidR="009729EB" w:rsidRPr="001A59D0">
        <w:rPr>
          <w:rFonts w:cstheme="minorHAnsi"/>
          <w:sz w:val="24"/>
          <w:szCs w:val="24"/>
        </w:rPr>
        <w:t>Hosman</w:t>
      </w:r>
      <w:proofErr w:type="spellEnd"/>
      <w:r w:rsidR="009729EB" w:rsidRPr="001A59D0">
        <w:rPr>
          <w:rFonts w:cstheme="minorHAnsi"/>
          <w:sz w:val="24"/>
          <w:szCs w:val="24"/>
        </w:rPr>
        <w:t xml:space="preserve"> 1983; Martin and </w:t>
      </w:r>
      <w:proofErr w:type="spellStart"/>
      <w:r w:rsidR="009729EB" w:rsidRPr="001A59D0">
        <w:rPr>
          <w:rFonts w:cstheme="minorHAnsi"/>
          <w:sz w:val="24"/>
          <w:szCs w:val="24"/>
        </w:rPr>
        <w:t>Jurik</w:t>
      </w:r>
      <w:proofErr w:type="spellEnd"/>
      <w:r w:rsidR="00D021DF" w:rsidRPr="001A59D0">
        <w:rPr>
          <w:rFonts w:cstheme="minorHAnsi"/>
          <w:sz w:val="24"/>
          <w:szCs w:val="24"/>
        </w:rPr>
        <w:t xml:space="preserve"> 2006; </w:t>
      </w:r>
      <w:proofErr w:type="spellStart"/>
      <w:r w:rsidR="00D021DF" w:rsidRPr="001A59D0">
        <w:rPr>
          <w:rFonts w:cstheme="minorHAnsi"/>
          <w:sz w:val="24"/>
          <w:szCs w:val="24"/>
        </w:rPr>
        <w:t>Walkate</w:t>
      </w:r>
      <w:proofErr w:type="spellEnd"/>
      <w:r w:rsidR="00D021DF" w:rsidRPr="001A59D0">
        <w:rPr>
          <w:rFonts w:cstheme="minorHAnsi"/>
          <w:sz w:val="24"/>
          <w:szCs w:val="24"/>
        </w:rPr>
        <w:t xml:space="preserve"> 2013; </w:t>
      </w:r>
      <w:proofErr w:type="spellStart"/>
      <w:r w:rsidR="00D021DF" w:rsidRPr="001A59D0">
        <w:rPr>
          <w:rFonts w:cstheme="minorHAnsi"/>
          <w:sz w:val="24"/>
          <w:szCs w:val="24"/>
        </w:rPr>
        <w:t>McKimmie</w:t>
      </w:r>
      <w:proofErr w:type="spellEnd"/>
      <w:r w:rsidR="00D021DF" w:rsidRPr="001A59D0">
        <w:rPr>
          <w:rFonts w:cstheme="minorHAnsi"/>
          <w:sz w:val="24"/>
          <w:szCs w:val="24"/>
        </w:rPr>
        <w:t xml:space="preserve"> and </w:t>
      </w:r>
      <w:proofErr w:type="spellStart"/>
      <w:r w:rsidR="00D021DF" w:rsidRPr="001A59D0">
        <w:rPr>
          <w:rFonts w:cstheme="minorHAnsi"/>
          <w:sz w:val="24"/>
          <w:szCs w:val="24"/>
        </w:rPr>
        <w:t>Masser</w:t>
      </w:r>
      <w:proofErr w:type="spellEnd"/>
      <w:r w:rsidR="00D021DF" w:rsidRPr="001A59D0">
        <w:rPr>
          <w:rFonts w:cstheme="minorHAnsi"/>
          <w:sz w:val="24"/>
          <w:szCs w:val="24"/>
        </w:rPr>
        <w:t xml:space="preserve"> 2010)</w:t>
      </w:r>
      <w:r w:rsidRPr="001A59D0">
        <w:rPr>
          <w:rFonts w:cstheme="minorHAnsi"/>
          <w:sz w:val="24"/>
          <w:szCs w:val="24"/>
        </w:rPr>
        <w:t xml:space="preserve">. </w:t>
      </w:r>
      <w:r w:rsidR="000C3800" w:rsidRPr="001A59D0">
        <w:rPr>
          <w:rFonts w:cstheme="minorHAnsi"/>
          <w:sz w:val="24"/>
          <w:szCs w:val="24"/>
        </w:rPr>
        <w:t xml:space="preserve">Specifically, </w:t>
      </w:r>
      <w:r w:rsidR="003C6F9B" w:rsidRPr="001A59D0">
        <w:rPr>
          <w:rFonts w:cstheme="minorHAnsi"/>
          <w:sz w:val="24"/>
          <w:szCs w:val="24"/>
        </w:rPr>
        <w:t xml:space="preserve">for the prosecuting attorney, </w:t>
      </w:r>
      <w:proofErr w:type="spellStart"/>
      <w:r w:rsidR="003C6F9B" w:rsidRPr="001A59D0">
        <w:rPr>
          <w:rFonts w:cstheme="minorHAnsi"/>
          <w:sz w:val="24"/>
          <w:szCs w:val="24"/>
        </w:rPr>
        <w:t>LaPrade</w:t>
      </w:r>
      <w:proofErr w:type="spellEnd"/>
      <w:r w:rsidR="003C6F9B" w:rsidRPr="001A59D0">
        <w:rPr>
          <w:rFonts w:cstheme="minorHAnsi"/>
          <w:sz w:val="24"/>
          <w:szCs w:val="24"/>
        </w:rPr>
        <w:t xml:space="preserve"> (2020) examines the impact of </w:t>
      </w:r>
      <w:r w:rsidR="00E44624" w:rsidRPr="001A59D0">
        <w:rPr>
          <w:rFonts w:cstheme="minorHAnsi"/>
          <w:sz w:val="24"/>
          <w:szCs w:val="24"/>
        </w:rPr>
        <w:t xml:space="preserve">prosecutor </w:t>
      </w:r>
      <w:r w:rsidR="003C6F9B" w:rsidRPr="001A59D0">
        <w:rPr>
          <w:rFonts w:cstheme="minorHAnsi"/>
          <w:sz w:val="24"/>
          <w:szCs w:val="24"/>
        </w:rPr>
        <w:t>gender on charging de</w:t>
      </w:r>
      <w:r w:rsidR="00B87372" w:rsidRPr="001A59D0">
        <w:rPr>
          <w:rFonts w:cstheme="minorHAnsi"/>
          <w:sz w:val="24"/>
          <w:szCs w:val="24"/>
        </w:rPr>
        <w:t>cisions</w:t>
      </w:r>
      <w:r w:rsidR="005842E3" w:rsidRPr="001A59D0">
        <w:rPr>
          <w:rFonts w:cstheme="minorHAnsi"/>
          <w:sz w:val="24"/>
          <w:szCs w:val="24"/>
        </w:rPr>
        <w:t xml:space="preserve"> relating to initial decisions and reductions and sentencing </w:t>
      </w:r>
      <w:r w:rsidR="00E44624" w:rsidRPr="001A59D0">
        <w:rPr>
          <w:rFonts w:cstheme="minorHAnsi"/>
          <w:sz w:val="24"/>
          <w:szCs w:val="24"/>
        </w:rPr>
        <w:t xml:space="preserve">related to time in jail. </w:t>
      </w:r>
      <w:r w:rsidR="00322819" w:rsidRPr="001A59D0">
        <w:rPr>
          <w:rFonts w:cstheme="minorHAnsi"/>
          <w:sz w:val="24"/>
          <w:szCs w:val="24"/>
        </w:rPr>
        <w:t>In contrast to examining the overall charging decisions for a prosecutor, t</w:t>
      </w:r>
      <w:r w:rsidRPr="001A59D0">
        <w:rPr>
          <w:rFonts w:cstheme="minorHAnsi"/>
          <w:sz w:val="24"/>
          <w:szCs w:val="24"/>
        </w:rPr>
        <w:t>his paper examines the role that gender might have on prosecuting attorney’s actions within a consultative stage</w:t>
      </w:r>
      <w:r w:rsidR="00322819" w:rsidRPr="001A59D0">
        <w:rPr>
          <w:rFonts w:cstheme="minorHAnsi"/>
          <w:sz w:val="24"/>
          <w:szCs w:val="24"/>
        </w:rPr>
        <w:t xml:space="preserve">, typically prior to </w:t>
      </w:r>
      <w:r w:rsidRPr="001A59D0">
        <w:rPr>
          <w:rFonts w:cstheme="minorHAnsi"/>
          <w:sz w:val="24"/>
          <w:szCs w:val="24"/>
        </w:rPr>
        <w:t>making</w:t>
      </w:r>
      <w:r w:rsidR="00322819" w:rsidRPr="001A59D0">
        <w:rPr>
          <w:rFonts w:cstheme="minorHAnsi"/>
          <w:sz w:val="24"/>
          <w:szCs w:val="24"/>
        </w:rPr>
        <w:t xml:space="preserve"> charging</w:t>
      </w:r>
      <w:r w:rsidRPr="001A59D0">
        <w:rPr>
          <w:rFonts w:cstheme="minorHAnsi"/>
          <w:sz w:val="24"/>
          <w:szCs w:val="24"/>
        </w:rPr>
        <w:t xml:space="preserve"> decision</w:t>
      </w:r>
      <w:r w:rsidR="00643072" w:rsidRPr="001A59D0">
        <w:rPr>
          <w:rFonts w:cstheme="minorHAnsi"/>
          <w:sz w:val="24"/>
          <w:szCs w:val="24"/>
        </w:rPr>
        <w:t>s</w:t>
      </w:r>
      <w:r w:rsidRPr="001A59D0">
        <w:rPr>
          <w:rFonts w:cstheme="minorHAnsi"/>
          <w:sz w:val="24"/>
          <w:szCs w:val="24"/>
        </w:rPr>
        <w:t xml:space="preserve"> concerning white-collar offenses. </w:t>
      </w:r>
    </w:p>
    <w:p w14:paraId="2D0ED153" w14:textId="61986FBD" w:rsidR="00643072" w:rsidRPr="001A59D0" w:rsidRDefault="00643072">
      <w:pPr>
        <w:rPr>
          <w:rFonts w:cstheme="minorHAnsi"/>
          <w:sz w:val="24"/>
          <w:szCs w:val="24"/>
        </w:rPr>
      </w:pPr>
      <w:r w:rsidRPr="001A59D0">
        <w:rPr>
          <w:rFonts w:cstheme="minorHAnsi"/>
          <w:sz w:val="24"/>
          <w:szCs w:val="24"/>
        </w:rPr>
        <w:t xml:space="preserve">Prosecuting attorneys have a unique position within the criminal justice system without significant oversight or checks from within the system (Davis 2013). The prosecuting attorney examines the resources available and determines which cases have the best chance of successful prosecution. Within Arkansas, the prosecuting attorney is an elected position for four-year terms. </w:t>
      </w:r>
    </w:p>
    <w:p w14:paraId="1B6AE997" w14:textId="77777777" w:rsidR="00505B12" w:rsidRPr="001A59D0" w:rsidRDefault="00041CD5">
      <w:pPr>
        <w:rPr>
          <w:rFonts w:cstheme="minorHAnsi"/>
          <w:sz w:val="24"/>
          <w:szCs w:val="24"/>
        </w:rPr>
      </w:pPr>
      <w:r w:rsidRPr="001A59D0">
        <w:rPr>
          <w:rFonts w:cstheme="minorHAnsi"/>
          <w:sz w:val="24"/>
          <w:szCs w:val="24"/>
        </w:rPr>
        <w:t xml:space="preserve">While </w:t>
      </w:r>
      <w:r w:rsidR="00103471" w:rsidRPr="001A59D0">
        <w:rPr>
          <w:rFonts w:cstheme="minorHAnsi"/>
          <w:sz w:val="24"/>
          <w:szCs w:val="24"/>
        </w:rPr>
        <w:t xml:space="preserve">the legal profession is </w:t>
      </w:r>
      <w:r w:rsidRPr="001A59D0">
        <w:rPr>
          <w:rFonts w:cstheme="minorHAnsi"/>
          <w:sz w:val="24"/>
          <w:szCs w:val="24"/>
        </w:rPr>
        <w:t>mostly a male dominated profession</w:t>
      </w:r>
      <w:r w:rsidR="00B02A62" w:rsidRPr="001A59D0">
        <w:rPr>
          <w:rFonts w:cstheme="minorHAnsi"/>
          <w:sz w:val="24"/>
          <w:szCs w:val="24"/>
        </w:rPr>
        <w:t xml:space="preserve"> (Pringle et al. 2017)</w:t>
      </w:r>
      <w:r w:rsidR="00103471" w:rsidRPr="001A59D0">
        <w:rPr>
          <w:rFonts w:cstheme="minorHAnsi"/>
          <w:sz w:val="24"/>
          <w:szCs w:val="24"/>
        </w:rPr>
        <w:t>, the prosecuting attorney’s office is one place to obtain some work life balance (</w:t>
      </w:r>
      <w:proofErr w:type="spellStart"/>
      <w:r w:rsidR="00EA7E12" w:rsidRPr="001A59D0">
        <w:rPr>
          <w:rFonts w:cstheme="minorHAnsi"/>
          <w:sz w:val="24"/>
          <w:szCs w:val="24"/>
        </w:rPr>
        <w:t>McWithey</w:t>
      </w:r>
      <w:proofErr w:type="spellEnd"/>
      <w:r w:rsidR="00EA7E12" w:rsidRPr="001A59D0">
        <w:rPr>
          <w:rFonts w:cstheme="minorHAnsi"/>
          <w:sz w:val="24"/>
          <w:szCs w:val="24"/>
        </w:rPr>
        <w:t xml:space="preserve"> 2020). </w:t>
      </w:r>
      <w:r w:rsidR="00D44CE5" w:rsidRPr="001A59D0">
        <w:rPr>
          <w:rFonts w:cstheme="minorHAnsi"/>
          <w:sz w:val="24"/>
          <w:szCs w:val="24"/>
        </w:rPr>
        <w:t xml:space="preserve">Thus, prosecuting attorney offices with their public service </w:t>
      </w:r>
      <w:r w:rsidR="00543559" w:rsidRPr="001A59D0">
        <w:rPr>
          <w:rFonts w:cstheme="minorHAnsi"/>
          <w:sz w:val="24"/>
          <w:szCs w:val="24"/>
        </w:rPr>
        <w:t xml:space="preserve">orientation may attract more women than working for a private law firm. </w:t>
      </w:r>
    </w:p>
    <w:p w14:paraId="733965E3" w14:textId="5CA3A8FC" w:rsidR="00057D9D" w:rsidRPr="001A59D0" w:rsidRDefault="00EA026F" w:rsidP="00AA1B50">
      <w:pPr>
        <w:rPr>
          <w:rFonts w:cstheme="minorHAnsi"/>
          <w:sz w:val="24"/>
          <w:szCs w:val="24"/>
        </w:rPr>
      </w:pPr>
      <w:proofErr w:type="spellStart"/>
      <w:r w:rsidRPr="001A59D0">
        <w:rPr>
          <w:rFonts w:cstheme="minorHAnsi"/>
          <w:sz w:val="24"/>
          <w:szCs w:val="24"/>
        </w:rPr>
        <w:t>LaPrade</w:t>
      </w:r>
      <w:proofErr w:type="spellEnd"/>
      <w:r w:rsidRPr="001A59D0">
        <w:rPr>
          <w:rFonts w:cstheme="minorHAnsi"/>
          <w:sz w:val="24"/>
          <w:szCs w:val="24"/>
        </w:rPr>
        <w:t xml:space="preserve"> (2020) motivates one aspect of her dissertation with the focal concerns theory, extending it to prosecutor’s charging decisions. While the theory </w:t>
      </w:r>
      <w:r w:rsidR="00670278" w:rsidRPr="001A59D0">
        <w:rPr>
          <w:rFonts w:cstheme="minorHAnsi"/>
          <w:sz w:val="24"/>
          <w:szCs w:val="24"/>
        </w:rPr>
        <w:t xml:space="preserve">promotes some key anchors for a prosecutorial charging decision such as </w:t>
      </w:r>
      <w:r w:rsidR="00D22E8D" w:rsidRPr="001A59D0">
        <w:rPr>
          <w:rFonts w:cstheme="minorHAnsi"/>
          <w:sz w:val="24"/>
          <w:szCs w:val="24"/>
        </w:rPr>
        <w:t xml:space="preserve">defendant characteristics and sentencing outcome realities, </w:t>
      </w:r>
      <w:r w:rsidR="00D5776E" w:rsidRPr="001A59D0">
        <w:rPr>
          <w:rFonts w:cstheme="minorHAnsi"/>
          <w:sz w:val="24"/>
          <w:szCs w:val="24"/>
        </w:rPr>
        <w:t xml:space="preserve">it is not certain that gender plays a significant enough role to tease out a specific impact or if the impacts are more a combination of random innate factors. </w:t>
      </w:r>
      <w:r w:rsidR="00057D9D" w:rsidRPr="001A59D0">
        <w:rPr>
          <w:rFonts w:cstheme="minorHAnsi"/>
          <w:sz w:val="24"/>
          <w:szCs w:val="24"/>
        </w:rPr>
        <w:t xml:space="preserve">For example, Lowrey-Kinberg, Gould, and Bowman (2021) discuss three key prosecutorial styles and consideration of defendant characteristics dominate the advocate but not the enforcer style. They document that both males and female prosecutors can hold embody each style and that office culture is dominated by the lead prosecuting attorney. </w:t>
      </w:r>
      <w:proofErr w:type="gramStart"/>
      <w:r w:rsidR="00057D9D" w:rsidRPr="001A59D0">
        <w:rPr>
          <w:rFonts w:cstheme="minorHAnsi"/>
          <w:sz w:val="24"/>
          <w:szCs w:val="24"/>
        </w:rPr>
        <w:t>Specifically</w:t>
      </w:r>
      <w:proofErr w:type="gramEnd"/>
      <w:r w:rsidR="00057D9D" w:rsidRPr="001A59D0">
        <w:rPr>
          <w:rFonts w:cstheme="minorHAnsi"/>
          <w:sz w:val="24"/>
          <w:szCs w:val="24"/>
        </w:rPr>
        <w:t xml:space="preserve"> around gender, </w:t>
      </w:r>
      <w:proofErr w:type="spellStart"/>
      <w:r w:rsidR="00AA1B50" w:rsidRPr="001A59D0">
        <w:rPr>
          <w:rFonts w:cstheme="minorHAnsi"/>
          <w:sz w:val="24"/>
          <w:szCs w:val="24"/>
        </w:rPr>
        <w:t>LaPrade</w:t>
      </w:r>
      <w:proofErr w:type="spellEnd"/>
      <w:r w:rsidR="00AA1B50" w:rsidRPr="001A59D0">
        <w:rPr>
          <w:rFonts w:cstheme="minorHAnsi"/>
          <w:sz w:val="24"/>
          <w:szCs w:val="24"/>
        </w:rPr>
        <w:t xml:space="preserve"> (2020) finds gender significant in incarceration modeling (males less frequently than females) but not cases passed (i.e. no charges filed)</w:t>
      </w:r>
      <w:r w:rsidR="00057D9D" w:rsidRPr="001A59D0">
        <w:rPr>
          <w:rFonts w:cstheme="minorHAnsi"/>
          <w:sz w:val="24"/>
          <w:szCs w:val="24"/>
        </w:rPr>
        <w:t xml:space="preserve"> </w:t>
      </w:r>
      <w:r w:rsidR="00AA1B50" w:rsidRPr="001A59D0">
        <w:rPr>
          <w:rFonts w:cstheme="minorHAnsi"/>
          <w:sz w:val="24"/>
          <w:szCs w:val="24"/>
        </w:rPr>
        <w:t>or charge reductions for mostly violent felony crimes and misdemeanors.</w:t>
      </w:r>
      <w:r w:rsidR="00057D9D" w:rsidRPr="001A59D0">
        <w:rPr>
          <w:rFonts w:cstheme="minorHAnsi"/>
          <w:sz w:val="24"/>
          <w:szCs w:val="24"/>
        </w:rPr>
        <w:t xml:space="preserve"> </w:t>
      </w:r>
      <w:r w:rsidR="00904D0E" w:rsidRPr="001A59D0">
        <w:rPr>
          <w:rFonts w:cstheme="minorHAnsi"/>
          <w:sz w:val="24"/>
          <w:szCs w:val="24"/>
        </w:rPr>
        <w:t>Ex-ante, although documented differences exist between males and females along working styles</w:t>
      </w:r>
      <w:r w:rsidR="009A337D" w:rsidRPr="001A59D0">
        <w:rPr>
          <w:rFonts w:cstheme="minorHAnsi"/>
          <w:sz w:val="24"/>
          <w:szCs w:val="24"/>
        </w:rPr>
        <w:t xml:space="preserve"> (</w:t>
      </w:r>
      <w:proofErr w:type="spellStart"/>
      <w:r w:rsidR="009A337D" w:rsidRPr="001A59D0">
        <w:rPr>
          <w:rFonts w:cstheme="minorHAnsi"/>
          <w:sz w:val="24"/>
          <w:szCs w:val="24"/>
        </w:rPr>
        <w:t>Matud</w:t>
      </w:r>
      <w:proofErr w:type="spellEnd"/>
      <w:r w:rsidR="009A337D" w:rsidRPr="001A59D0">
        <w:rPr>
          <w:rFonts w:cstheme="minorHAnsi"/>
          <w:sz w:val="24"/>
          <w:szCs w:val="24"/>
        </w:rPr>
        <w:t xml:space="preserve"> 2004)</w:t>
      </w:r>
      <w:r w:rsidR="00904D0E" w:rsidRPr="001A59D0">
        <w:rPr>
          <w:rFonts w:cstheme="minorHAnsi"/>
          <w:sz w:val="24"/>
          <w:szCs w:val="24"/>
        </w:rPr>
        <w:t xml:space="preserve"> and language (</w:t>
      </w:r>
      <w:proofErr w:type="spellStart"/>
      <w:r w:rsidR="001A59D0" w:rsidRPr="001A59D0">
        <w:rPr>
          <w:rFonts w:cstheme="minorHAnsi"/>
          <w:color w:val="222222"/>
          <w:sz w:val="24"/>
          <w:szCs w:val="24"/>
          <w:shd w:val="clear" w:color="auto" w:fill="FFFFFF"/>
        </w:rPr>
        <w:t>Piersoul</w:t>
      </w:r>
      <w:proofErr w:type="spellEnd"/>
      <w:r w:rsidR="001A59D0" w:rsidRPr="001A59D0">
        <w:rPr>
          <w:rFonts w:cstheme="minorHAnsi"/>
          <w:color w:val="222222"/>
          <w:sz w:val="24"/>
          <w:szCs w:val="24"/>
          <w:shd w:val="clear" w:color="auto" w:fill="FFFFFF"/>
        </w:rPr>
        <w:t xml:space="preserve"> and Van de Velde 2020), it is not clear that I will find gender differences when working between prosecutors and auditors when exchanging communication in a formal written environment.</w:t>
      </w:r>
    </w:p>
    <w:p w14:paraId="40860CF0" w14:textId="163D773D" w:rsidR="00643072" w:rsidRPr="001A59D0" w:rsidRDefault="00741BCD">
      <w:pPr>
        <w:rPr>
          <w:rFonts w:cstheme="minorHAnsi"/>
          <w:sz w:val="24"/>
          <w:szCs w:val="24"/>
        </w:rPr>
      </w:pPr>
      <w:r w:rsidRPr="001A59D0">
        <w:rPr>
          <w:rFonts w:cstheme="minorHAnsi"/>
          <w:sz w:val="24"/>
          <w:szCs w:val="24"/>
        </w:rPr>
        <w:t>I leverage data over a ten</w:t>
      </w:r>
      <w:r w:rsidR="004D213A" w:rsidRPr="001A59D0">
        <w:rPr>
          <w:rFonts w:cstheme="minorHAnsi"/>
          <w:sz w:val="24"/>
          <w:szCs w:val="24"/>
        </w:rPr>
        <w:t>-</w:t>
      </w:r>
      <w:r w:rsidRPr="001A59D0">
        <w:rPr>
          <w:rFonts w:cstheme="minorHAnsi"/>
          <w:sz w:val="24"/>
          <w:szCs w:val="24"/>
        </w:rPr>
        <w:t>year period (2010-20</w:t>
      </w:r>
      <w:r w:rsidR="00643072" w:rsidRPr="001A59D0">
        <w:rPr>
          <w:rFonts w:cstheme="minorHAnsi"/>
          <w:sz w:val="24"/>
          <w:szCs w:val="24"/>
        </w:rPr>
        <w:t>19) to examine how the prosecutor interacts with governmental auditor recommendations</w:t>
      </w:r>
      <w:r w:rsidR="004D213A" w:rsidRPr="001A59D0">
        <w:rPr>
          <w:rFonts w:cstheme="minorHAnsi"/>
          <w:sz w:val="24"/>
          <w:szCs w:val="24"/>
        </w:rPr>
        <w:t xml:space="preserve"> within the Arkansas state </w:t>
      </w:r>
      <w:r w:rsidR="001A59D0" w:rsidRPr="001A59D0">
        <w:rPr>
          <w:rFonts w:cstheme="minorHAnsi"/>
          <w:sz w:val="24"/>
          <w:szCs w:val="24"/>
        </w:rPr>
        <w:t>government</w:t>
      </w:r>
      <w:r w:rsidR="00643072" w:rsidRPr="001A59D0">
        <w:rPr>
          <w:rFonts w:cstheme="minorHAnsi"/>
          <w:sz w:val="24"/>
          <w:szCs w:val="24"/>
        </w:rPr>
        <w:t xml:space="preserve">. I focus on the impact that gender may have with the variety of actions taken, the type of language used to </w:t>
      </w:r>
      <w:r w:rsidR="00643072" w:rsidRPr="001A59D0">
        <w:rPr>
          <w:rFonts w:cstheme="minorHAnsi"/>
          <w:sz w:val="24"/>
          <w:szCs w:val="24"/>
        </w:rPr>
        <w:lastRenderedPageBreak/>
        <w:t xml:space="preserve">report back to the auditors, and the number of recommendations that result in charges filed. The modeling will use a hierarchical linear model to incorporate both the prosecutor variables and the socioeconomic variables for the counties over which the prosecuting attorney has jurisdiction. </w:t>
      </w:r>
    </w:p>
    <w:p w14:paraId="520FB38E" w14:textId="1C03F463" w:rsidR="004D213A" w:rsidRPr="001A59D0" w:rsidRDefault="004D213A">
      <w:pPr>
        <w:rPr>
          <w:rFonts w:cstheme="minorHAnsi"/>
          <w:sz w:val="24"/>
          <w:szCs w:val="24"/>
        </w:rPr>
      </w:pPr>
      <w:r w:rsidRPr="001A59D0">
        <w:rPr>
          <w:rFonts w:cstheme="minorHAnsi"/>
          <w:sz w:val="24"/>
          <w:szCs w:val="24"/>
        </w:rPr>
        <w:t>Th</w:t>
      </w:r>
      <w:r w:rsidR="00686951" w:rsidRPr="001A59D0">
        <w:rPr>
          <w:rFonts w:cstheme="minorHAnsi"/>
          <w:sz w:val="24"/>
          <w:szCs w:val="24"/>
        </w:rPr>
        <w:t xml:space="preserve">is paper explores white collar, instead of a violent crime, setting. More importantly, it explores how </w:t>
      </w:r>
      <w:proofErr w:type="spellStart"/>
      <w:r w:rsidR="00686951" w:rsidRPr="001A59D0">
        <w:rPr>
          <w:rFonts w:cstheme="minorHAnsi"/>
          <w:sz w:val="24"/>
          <w:szCs w:val="24"/>
        </w:rPr>
        <w:t>prosectors</w:t>
      </w:r>
      <w:proofErr w:type="spellEnd"/>
      <w:r w:rsidR="00686951" w:rsidRPr="001A59D0">
        <w:rPr>
          <w:rFonts w:cstheme="minorHAnsi"/>
          <w:sz w:val="24"/>
          <w:szCs w:val="24"/>
        </w:rPr>
        <w:t xml:space="preserve"> react to auditor identified </w:t>
      </w:r>
      <w:r w:rsidR="00331B37" w:rsidRPr="001A59D0">
        <w:rPr>
          <w:rFonts w:cstheme="minorHAnsi"/>
          <w:sz w:val="24"/>
          <w:szCs w:val="24"/>
        </w:rPr>
        <w:t xml:space="preserve">issues and if this interaction is based on prosecutor or regional characteristics. </w:t>
      </w:r>
      <w:r w:rsidR="00904D0E" w:rsidRPr="001A59D0">
        <w:rPr>
          <w:rFonts w:cstheme="minorHAnsi"/>
          <w:sz w:val="24"/>
          <w:szCs w:val="24"/>
        </w:rPr>
        <w:t xml:space="preserve">This is a first step forward to explore the interactions of financial statement governmental auditors and their fellow prosecutors within state government. </w:t>
      </w:r>
    </w:p>
    <w:p w14:paraId="32A5F355" w14:textId="77777777" w:rsidR="004D213A" w:rsidRPr="001A59D0" w:rsidRDefault="004D213A">
      <w:pPr>
        <w:rPr>
          <w:rFonts w:cstheme="minorHAnsi"/>
          <w:sz w:val="24"/>
          <w:szCs w:val="24"/>
        </w:rPr>
      </w:pPr>
    </w:p>
    <w:p w14:paraId="6235511A" w14:textId="77777777" w:rsidR="00741BCD" w:rsidRPr="001A59D0" w:rsidRDefault="00741BCD">
      <w:pPr>
        <w:rPr>
          <w:rFonts w:cstheme="minorHAnsi"/>
          <w:sz w:val="24"/>
          <w:szCs w:val="24"/>
        </w:rPr>
      </w:pPr>
    </w:p>
    <w:p w14:paraId="2F46DC7B" w14:textId="003B0324" w:rsidR="00F44DE0" w:rsidRPr="001A59D0" w:rsidRDefault="006D7299">
      <w:pPr>
        <w:rPr>
          <w:rFonts w:cstheme="minorHAnsi"/>
          <w:sz w:val="24"/>
          <w:szCs w:val="24"/>
        </w:rPr>
      </w:pPr>
      <w:r>
        <w:rPr>
          <w:rFonts w:cstheme="minorHAnsi"/>
          <w:sz w:val="24"/>
          <w:szCs w:val="24"/>
        </w:rPr>
        <w:t>References</w:t>
      </w:r>
    </w:p>
    <w:p w14:paraId="0BC6BFD7" w14:textId="1F695611" w:rsidR="00F44DE0" w:rsidRDefault="00F44DE0">
      <w:pPr>
        <w:rPr>
          <w:rFonts w:cstheme="minorHAnsi"/>
          <w:sz w:val="24"/>
          <w:szCs w:val="24"/>
        </w:rPr>
      </w:pPr>
      <w:r w:rsidRPr="001A59D0">
        <w:rPr>
          <w:rFonts w:cstheme="minorHAnsi"/>
          <w:sz w:val="24"/>
          <w:szCs w:val="24"/>
        </w:rPr>
        <w:t>Davis, A. J. (2013). In search of racial justice: The role of the prosecutor. New York University Journal of Legislation and Public Policy, 16(4), 821-852.</w:t>
      </w:r>
    </w:p>
    <w:p w14:paraId="4DE582B0" w14:textId="77777777" w:rsidR="006D7299" w:rsidRPr="001A59D0" w:rsidRDefault="006D7299" w:rsidP="006D7299">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t>LaPrade</w:t>
      </w:r>
      <w:proofErr w:type="spellEnd"/>
      <w:r w:rsidRPr="001A59D0">
        <w:rPr>
          <w:rFonts w:cstheme="minorHAnsi"/>
          <w:color w:val="222222"/>
          <w:sz w:val="24"/>
          <w:szCs w:val="24"/>
          <w:shd w:val="clear" w:color="auto" w:fill="FFFFFF"/>
        </w:rPr>
        <w:t>, J. (2020). </w:t>
      </w:r>
      <w:r w:rsidRPr="001A59D0">
        <w:rPr>
          <w:rFonts w:cstheme="minorHAnsi"/>
          <w:i/>
          <w:iCs/>
          <w:color w:val="222222"/>
          <w:sz w:val="24"/>
          <w:szCs w:val="24"/>
          <w:shd w:val="clear" w:color="auto" w:fill="FFFFFF"/>
        </w:rPr>
        <w:t>Examining the Relationship Between Prosecutor Characteristics and Court Outcomes</w:t>
      </w:r>
      <w:r w:rsidRPr="001A59D0">
        <w:rPr>
          <w:rFonts w:cstheme="minorHAnsi"/>
          <w:color w:val="222222"/>
          <w:sz w:val="24"/>
          <w:szCs w:val="24"/>
          <w:shd w:val="clear" w:color="auto" w:fill="FFFFFF"/>
        </w:rPr>
        <w:t>. The University of Texas at Dallas.</w:t>
      </w:r>
    </w:p>
    <w:p w14:paraId="2392BD4F" w14:textId="77777777" w:rsidR="006D7299" w:rsidRPr="001A59D0" w:rsidRDefault="006D7299" w:rsidP="006D7299">
      <w:pPr>
        <w:rPr>
          <w:rFonts w:cstheme="minorHAnsi"/>
          <w:color w:val="222222"/>
          <w:sz w:val="24"/>
          <w:szCs w:val="24"/>
          <w:shd w:val="clear" w:color="auto" w:fill="FFFFFF"/>
        </w:rPr>
      </w:pPr>
      <w:r w:rsidRPr="001A59D0">
        <w:rPr>
          <w:rFonts w:cstheme="minorHAnsi"/>
          <w:color w:val="222222"/>
          <w:sz w:val="24"/>
          <w:szCs w:val="24"/>
          <w:shd w:val="clear" w:color="auto" w:fill="FFFFFF"/>
        </w:rPr>
        <w:t>Lowrey-Kinberg, B., Gould, J., &amp; Bowman, R. (2021). “Heart and Soul of a Prosecutor”: The Impact of Prosecutor Role Orientation on Charging Decisions. </w:t>
      </w:r>
      <w:r w:rsidRPr="001A59D0">
        <w:rPr>
          <w:rFonts w:cstheme="minorHAnsi"/>
          <w:i/>
          <w:iCs/>
          <w:color w:val="222222"/>
          <w:sz w:val="24"/>
          <w:szCs w:val="24"/>
          <w:shd w:val="clear" w:color="auto" w:fill="FFFFFF"/>
        </w:rPr>
        <w:t>Criminal Justice and Behavior</w:t>
      </w:r>
      <w:r w:rsidRPr="001A59D0">
        <w:rPr>
          <w:rFonts w:cstheme="minorHAnsi"/>
          <w:color w:val="222222"/>
          <w:sz w:val="24"/>
          <w:szCs w:val="24"/>
          <w:shd w:val="clear" w:color="auto" w:fill="FFFFFF"/>
        </w:rPr>
        <w:t>, 00938548211041645.</w:t>
      </w:r>
    </w:p>
    <w:p w14:paraId="13B22708" w14:textId="18A6269B" w:rsidR="00AA4DF8" w:rsidRDefault="00AA4DF8">
      <w:pPr>
        <w:rPr>
          <w:rFonts w:cstheme="minorHAnsi"/>
          <w:color w:val="222222"/>
          <w:sz w:val="24"/>
          <w:szCs w:val="24"/>
          <w:shd w:val="clear" w:color="auto" w:fill="FFFFFF"/>
        </w:rPr>
      </w:pPr>
      <w:r w:rsidRPr="001A59D0">
        <w:rPr>
          <w:rFonts w:cstheme="minorHAnsi"/>
          <w:color w:val="222222"/>
          <w:sz w:val="24"/>
          <w:szCs w:val="24"/>
          <w:shd w:val="clear" w:color="auto" w:fill="FFFFFF"/>
        </w:rPr>
        <w:t xml:space="preserve">Martin, S. E., &amp; </w:t>
      </w:r>
      <w:proofErr w:type="spellStart"/>
      <w:r w:rsidRPr="001A59D0">
        <w:rPr>
          <w:rFonts w:cstheme="minorHAnsi"/>
          <w:color w:val="222222"/>
          <w:sz w:val="24"/>
          <w:szCs w:val="24"/>
          <w:shd w:val="clear" w:color="auto" w:fill="FFFFFF"/>
        </w:rPr>
        <w:t>Jurik</w:t>
      </w:r>
      <w:proofErr w:type="spellEnd"/>
      <w:r w:rsidRPr="001A59D0">
        <w:rPr>
          <w:rFonts w:cstheme="minorHAnsi"/>
          <w:color w:val="222222"/>
          <w:sz w:val="24"/>
          <w:szCs w:val="24"/>
          <w:shd w:val="clear" w:color="auto" w:fill="FFFFFF"/>
        </w:rPr>
        <w:t>, N. C. (2006). </w:t>
      </w:r>
      <w:r w:rsidRPr="001A59D0">
        <w:rPr>
          <w:rFonts w:cstheme="minorHAnsi"/>
          <w:i/>
          <w:iCs/>
          <w:color w:val="222222"/>
          <w:sz w:val="24"/>
          <w:szCs w:val="24"/>
          <w:shd w:val="clear" w:color="auto" w:fill="FFFFFF"/>
        </w:rPr>
        <w:t>Doing justice, doing gender: Women in legal and criminal justice occupations</w:t>
      </w:r>
      <w:r w:rsidRPr="001A59D0">
        <w:rPr>
          <w:rFonts w:cstheme="minorHAnsi"/>
          <w:color w:val="222222"/>
          <w:sz w:val="24"/>
          <w:szCs w:val="24"/>
          <w:shd w:val="clear" w:color="auto" w:fill="FFFFFF"/>
        </w:rPr>
        <w:t>. Sage Publications.</w:t>
      </w:r>
    </w:p>
    <w:p w14:paraId="2D32454F" w14:textId="77777777" w:rsidR="006D7299" w:rsidRPr="001A59D0" w:rsidRDefault="006D7299" w:rsidP="006D7299">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t>Matud</w:t>
      </w:r>
      <w:proofErr w:type="spellEnd"/>
      <w:r w:rsidRPr="001A59D0">
        <w:rPr>
          <w:rFonts w:cstheme="minorHAnsi"/>
          <w:color w:val="222222"/>
          <w:sz w:val="24"/>
          <w:szCs w:val="24"/>
          <w:shd w:val="clear" w:color="auto" w:fill="FFFFFF"/>
        </w:rPr>
        <w:t>, M. P. (2004). Gender differences in stress and coping styles. </w:t>
      </w:r>
      <w:r w:rsidRPr="001A59D0">
        <w:rPr>
          <w:rFonts w:cstheme="minorHAnsi"/>
          <w:i/>
          <w:iCs/>
          <w:color w:val="222222"/>
          <w:sz w:val="24"/>
          <w:szCs w:val="24"/>
          <w:shd w:val="clear" w:color="auto" w:fill="FFFFFF"/>
        </w:rPr>
        <w:t>Personality and individual differences</w:t>
      </w:r>
      <w:r w:rsidRPr="001A59D0">
        <w:rPr>
          <w:rFonts w:cstheme="minorHAnsi"/>
          <w:color w:val="222222"/>
          <w:sz w:val="24"/>
          <w:szCs w:val="24"/>
          <w:shd w:val="clear" w:color="auto" w:fill="FFFFFF"/>
        </w:rPr>
        <w:t>, </w:t>
      </w:r>
      <w:r w:rsidRPr="001A59D0">
        <w:rPr>
          <w:rFonts w:cstheme="minorHAnsi"/>
          <w:i/>
          <w:iCs/>
          <w:color w:val="222222"/>
          <w:sz w:val="24"/>
          <w:szCs w:val="24"/>
          <w:shd w:val="clear" w:color="auto" w:fill="FFFFFF"/>
        </w:rPr>
        <w:t>37</w:t>
      </w:r>
      <w:r w:rsidRPr="001A59D0">
        <w:rPr>
          <w:rFonts w:cstheme="minorHAnsi"/>
          <w:color w:val="222222"/>
          <w:sz w:val="24"/>
          <w:szCs w:val="24"/>
          <w:shd w:val="clear" w:color="auto" w:fill="FFFFFF"/>
        </w:rPr>
        <w:t>(7), 1401-1415.</w:t>
      </w:r>
    </w:p>
    <w:p w14:paraId="197EFB18" w14:textId="75890FB6" w:rsidR="00A26DBD" w:rsidRPr="001A59D0" w:rsidRDefault="00A26DBD">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t>McKimmie</w:t>
      </w:r>
      <w:proofErr w:type="spellEnd"/>
      <w:r w:rsidRPr="001A59D0">
        <w:rPr>
          <w:rFonts w:cstheme="minorHAnsi"/>
          <w:color w:val="222222"/>
          <w:sz w:val="24"/>
          <w:szCs w:val="24"/>
          <w:shd w:val="clear" w:color="auto" w:fill="FFFFFF"/>
        </w:rPr>
        <w:t xml:space="preserve">, Blake M., and Barbara M. </w:t>
      </w:r>
      <w:proofErr w:type="spellStart"/>
      <w:r w:rsidRPr="001A59D0">
        <w:rPr>
          <w:rFonts w:cstheme="minorHAnsi"/>
          <w:color w:val="222222"/>
          <w:sz w:val="24"/>
          <w:szCs w:val="24"/>
          <w:shd w:val="clear" w:color="auto" w:fill="FFFFFF"/>
        </w:rPr>
        <w:t>Masser</w:t>
      </w:r>
      <w:proofErr w:type="spellEnd"/>
      <w:r w:rsidRPr="001A59D0">
        <w:rPr>
          <w:rFonts w:cstheme="minorHAnsi"/>
          <w:color w:val="222222"/>
          <w:sz w:val="24"/>
          <w:szCs w:val="24"/>
          <w:shd w:val="clear" w:color="auto" w:fill="FFFFFF"/>
        </w:rPr>
        <w:t>. "The effect of gender in the courtroom." In </w:t>
      </w:r>
      <w:r w:rsidRPr="001A59D0">
        <w:rPr>
          <w:rFonts w:cstheme="minorHAnsi"/>
          <w:i/>
          <w:iCs/>
          <w:color w:val="222222"/>
          <w:sz w:val="24"/>
          <w:szCs w:val="24"/>
          <w:shd w:val="clear" w:color="auto" w:fill="FFFFFF"/>
        </w:rPr>
        <w:t>Forensic Psychology</w:t>
      </w:r>
      <w:r w:rsidRPr="001A59D0">
        <w:rPr>
          <w:rFonts w:cstheme="minorHAnsi"/>
          <w:color w:val="222222"/>
          <w:sz w:val="24"/>
          <w:szCs w:val="24"/>
          <w:shd w:val="clear" w:color="auto" w:fill="FFFFFF"/>
        </w:rPr>
        <w:t>, pp. 127-154. Willan, 2010.</w:t>
      </w:r>
    </w:p>
    <w:p w14:paraId="121BB3D9" w14:textId="7383B11C" w:rsidR="00EA7E12" w:rsidRPr="001A59D0" w:rsidRDefault="00EA7E12">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t>McWithey</w:t>
      </w:r>
      <w:proofErr w:type="spellEnd"/>
      <w:r w:rsidRPr="001A59D0">
        <w:rPr>
          <w:rFonts w:cstheme="minorHAnsi"/>
          <w:color w:val="222222"/>
          <w:sz w:val="24"/>
          <w:szCs w:val="24"/>
          <w:shd w:val="clear" w:color="auto" w:fill="FFFFFF"/>
        </w:rPr>
        <w:t>, M. (2020). Taking a Deeper Dive into Progressive Prosecution: Evaluating the Trend Through the Lens of Geography: Part One: Internal Constraints. </w:t>
      </w:r>
      <w:r w:rsidRPr="001A59D0">
        <w:rPr>
          <w:rFonts w:cstheme="minorHAnsi"/>
          <w:i/>
          <w:iCs/>
          <w:color w:val="222222"/>
          <w:sz w:val="24"/>
          <w:szCs w:val="24"/>
          <w:shd w:val="clear" w:color="auto" w:fill="FFFFFF"/>
        </w:rPr>
        <w:t>Boston College Law Review</w:t>
      </w:r>
      <w:r w:rsidRPr="001A59D0">
        <w:rPr>
          <w:rFonts w:cstheme="minorHAnsi"/>
          <w:color w:val="222222"/>
          <w:sz w:val="24"/>
          <w:szCs w:val="24"/>
          <w:shd w:val="clear" w:color="auto" w:fill="FFFFFF"/>
        </w:rPr>
        <w:t>, </w:t>
      </w:r>
      <w:r w:rsidRPr="001A59D0">
        <w:rPr>
          <w:rFonts w:cstheme="minorHAnsi"/>
          <w:i/>
          <w:iCs/>
          <w:color w:val="222222"/>
          <w:sz w:val="24"/>
          <w:szCs w:val="24"/>
          <w:shd w:val="clear" w:color="auto" w:fill="FFFFFF"/>
        </w:rPr>
        <w:t>61</w:t>
      </w:r>
      <w:r w:rsidRPr="001A59D0">
        <w:rPr>
          <w:rFonts w:cstheme="minorHAnsi"/>
          <w:color w:val="222222"/>
          <w:sz w:val="24"/>
          <w:szCs w:val="24"/>
          <w:shd w:val="clear" w:color="auto" w:fill="FFFFFF"/>
        </w:rPr>
        <w:t>(9), E-Supp.</w:t>
      </w:r>
    </w:p>
    <w:p w14:paraId="4DE294FF" w14:textId="3E5E2F68" w:rsidR="001A59D0" w:rsidRDefault="001A59D0">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t>Piersoul</w:t>
      </w:r>
      <w:proofErr w:type="spellEnd"/>
      <w:r w:rsidRPr="001A59D0">
        <w:rPr>
          <w:rFonts w:cstheme="minorHAnsi"/>
          <w:color w:val="222222"/>
          <w:sz w:val="24"/>
          <w:szCs w:val="24"/>
          <w:shd w:val="clear" w:color="auto" w:fill="FFFFFF"/>
        </w:rPr>
        <w:t>, J., &amp; Van de Velde, F. (2020). Robustness and diachronic stability of gender differences in style. In </w:t>
      </w:r>
      <w:r w:rsidRPr="001A59D0">
        <w:rPr>
          <w:rFonts w:cstheme="minorHAnsi"/>
          <w:i/>
          <w:iCs/>
          <w:color w:val="222222"/>
          <w:sz w:val="24"/>
          <w:szCs w:val="24"/>
          <w:shd w:val="clear" w:color="auto" w:fill="FFFFFF"/>
        </w:rPr>
        <w:t>UK Cognitive Linguistics Conference, Date: 2020/07/28-2020/07/28, Location: Online (Birmingham)</w:t>
      </w:r>
      <w:r w:rsidRPr="001A59D0">
        <w:rPr>
          <w:rFonts w:cstheme="minorHAnsi"/>
          <w:color w:val="222222"/>
          <w:sz w:val="24"/>
          <w:szCs w:val="24"/>
          <w:shd w:val="clear" w:color="auto" w:fill="FFFFFF"/>
        </w:rPr>
        <w:t>.</w:t>
      </w:r>
    </w:p>
    <w:p w14:paraId="3EA73ECA" w14:textId="77777777" w:rsidR="006D7299" w:rsidRPr="001A59D0" w:rsidRDefault="006D7299" w:rsidP="006D7299">
      <w:pPr>
        <w:rPr>
          <w:rFonts w:cstheme="minorHAnsi"/>
          <w:color w:val="222222"/>
          <w:sz w:val="24"/>
          <w:szCs w:val="24"/>
          <w:shd w:val="clear" w:color="auto" w:fill="FFFFFF"/>
        </w:rPr>
      </w:pPr>
      <w:r w:rsidRPr="001A59D0">
        <w:rPr>
          <w:rFonts w:cstheme="minorHAnsi"/>
          <w:color w:val="222222"/>
          <w:sz w:val="24"/>
          <w:szCs w:val="24"/>
          <w:shd w:val="clear" w:color="auto" w:fill="FFFFFF"/>
        </w:rPr>
        <w:t>Pringle, J. K., Harris, C., Ravenswood, K., Giddings, L., Ryan, I., &amp; Jaeger, S. (2017). Women's career progression in law firms: Views from the top, views from below. </w:t>
      </w:r>
      <w:r w:rsidRPr="001A59D0">
        <w:rPr>
          <w:rFonts w:cstheme="minorHAnsi"/>
          <w:i/>
          <w:iCs/>
          <w:color w:val="222222"/>
          <w:sz w:val="24"/>
          <w:szCs w:val="24"/>
          <w:shd w:val="clear" w:color="auto" w:fill="FFFFFF"/>
        </w:rPr>
        <w:t>Gender, Work &amp; Organization</w:t>
      </w:r>
      <w:r w:rsidRPr="001A59D0">
        <w:rPr>
          <w:rFonts w:cstheme="minorHAnsi"/>
          <w:color w:val="222222"/>
          <w:sz w:val="24"/>
          <w:szCs w:val="24"/>
          <w:shd w:val="clear" w:color="auto" w:fill="FFFFFF"/>
        </w:rPr>
        <w:t>, </w:t>
      </w:r>
      <w:r w:rsidRPr="001A59D0">
        <w:rPr>
          <w:rFonts w:cstheme="minorHAnsi"/>
          <w:i/>
          <w:iCs/>
          <w:color w:val="222222"/>
          <w:sz w:val="24"/>
          <w:szCs w:val="24"/>
          <w:shd w:val="clear" w:color="auto" w:fill="FFFFFF"/>
        </w:rPr>
        <w:t>24</w:t>
      </w:r>
      <w:r w:rsidRPr="001A59D0">
        <w:rPr>
          <w:rFonts w:cstheme="minorHAnsi"/>
          <w:color w:val="222222"/>
          <w:sz w:val="24"/>
          <w:szCs w:val="24"/>
          <w:shd w:val="clear" w:color="auto" w:fill="FFFFFF"/>
        </w:rPr>
        <w:t>(4), 435-449.</w:t>
      </w:r>
    </w:p>
    <w:p w14:paraId="67E09E5E" w14:textId="77777777" w:rsidR="006D7299" w:rsidRPr="001A59D0" w:rsidRDefault="006D7299" w:rsidP="006D7299">
      <w:pPr>
        <w:rPr>
          <w:rFonts w:cstheme="minorHAnsi"/>
          <w:color w:val="222222"/>
          <w:sz w:val="24"/>
          <w:szCs w:val="24"/>
          <w:shd w:val="clear" w:color="auto" w:fill="FFFFFF"/>
        </w:rPr>
      </w:pPr>
      <w:proofErr w:type="spellStart"/>
      <w:r w:rsidRPr="001A59D0">
        <w:rPr>
          <w:rFonts w:cstheme="minorHAnsi"/>
          <w:color w:val="222222"/>
          <w:sz w:val="24"/>
          <w:szCs w:val="24"/>
          <w:shd w:val="clear" w:color="auto" w:fill="FFFFFF"/>
        </w:rPr>
        <w:lastRenderedPageBreak/>
        <w:t>Walklate</w:t>
      </w:r>
      <w:proofErr w:type="spellEnd"/>
      <w:r w:rsidRPr="001A59D0">
        <w:rPr>
          <w:rFonts w:cstheme="minorHAnsi"/>
          <w:color w:val="222222"/>
          <w:sz w:val="24"/>
          <w:szCs w:val="24"/>
          <w:shd w:val="clear" w:color="auto" w:fill="FFFFFF"/>
        </w:rPr>
        <w:t>, S. (2013). </w:t>
      </w:r>
      <w:r w:rsidRPr="001A59D0">
        <w:rPr>
          <w:rFonts w:cstheme="minorHAnsi"/>
          <w:i/>
          <w:iCs/>
          <w:color w:val="222222"/>
          <w:sz w:val="24"/>
          <w:szCs w:val="24"/>
          <w:shd w:val="clear" w:color="auto" w:fill="FFFFFF"/>
        </w:rPr>
        <w:t xml:space="preserve">Gender, </w:t>
      </w:r>
      <w:proofErr w:type="gramStart"/>
      <w:r w:rsidRPr="001A59D0">
        <w:rPr>
          <w:rFonts w:cstheme="minorHAnsi"/>
          <w:i/>
          <w:iCs/>
          <w:color w:val="222222"/>
          <w:sz w:val="24"/>
          <w:szCs w:val="24"/>
          <w:shd w:val="clear" w:color="auto" w:fill="FFFFFF"/>
        </w:rPr>
        <w:t>crime</w:t>
      </w:r>
      <w:proofErr w:type="gramEnd"/>
      <w:r w:rsidRPr="001A59D0">
        <w:rPr>
          <w:rFonts w:cstheme="minorHAnsi"/>
          <w:i/>
          <w:iCs/>
          <w:color w:val="222222"/>
          <w:sz w:val="24"/>
          <w:szCs w:val="24"/>
          <w:shd w:val="clear" w:color="auto" w:fill="FFFFFF"/>
        </w:rPr>
        <w:t xml:space="preserve"> and criminal justice</w:t>
      </w:r>
      <w:r w:rsidRPr="001A59D0">
        <w:rPr>
          <w:rFonts w:cstheme="minorHAnsi"/>
          <w:color w:val="222222"/>
          <w:sz w:val="24"/>
          <w:szCs w:val="24"/>
          <w:shd w:val="clear" w:color="auto" w:fill="FFFFFF"/>
        </w:rPr>
        <w:t>. Routledge.</w:t>
      </w:r>
    </w:p>
    <w:p w14:paraId="7C64B8C3" w14:textId="77777777" w:rsidR="006D7299" w:rsidRPr="001A59D0" w:rsidRDefault="006D7299" w:rsidP="006D7299">
      <w:pPr>
        <w:rPr>
          <w:rFonts w:cstheme="minorHAnsi"/>
          <w:color w:val="222222"/>
          <w:sz w:val="24"/>
          <w:szCs w:val="24"/>
          <w:shd w:val="clear" w:color="auto" w:fill="FFFFFF"/>
        </w:rPr>
      </w:pPr>
      <w:r w:rsidRPr="001A59D0">
        <w:rPr>
          <w:rFonts w:cstheme="minorHAnsi"/>
          <w:color w:val="222222"/>
          <w:sz w:val="24"/>
          <w:szCs w:val="24"/>
          <w:shd w:val="clear" w:color="auto" w:fill="FFFFFF"/>
        </w:rPr>
        <w:t xml:space="preserve">Wright, J. W., &amp; </w:t>
      </w:r>
      <w:proofErr w:type="spellStart"/>
      <w:r w:rsidRPr="001A59D0">
        <w:rPr>
          <w:rFonts w:cstheme="minorHAnsi"/>
          <w:color w:val="222222"/>
          <w:sz w:val="24"/>
          <w:szCs w:val="24"/>
          <w:shd w:val="clear" w:color="auto" w:fill="FFFFFF"/>
        </w:rPr>
        <w:t>Hosman</w:t>
      </w:r>
      <w:proofErr w:type="spellEnd"/>
      <w:r w:rsidRPr="001A59D0">
        <w:rPr>
          <w:rFonts w:cstheme="minorHAnsi"/>
          <w:color w:val="222222"/>
          <w:sz w:val="24"/>
          <w:szCs w:val="24"/>
          <w:shd w:val="clear" w:color="auto" w:fill="FFFFFF"/>
        </w:rPr>
        <w:t>, L. A. (1983). Language style and sex bias in the courtroom: The effects of male and female use of hedges and intensifiers on impression information. </w:t>
      </w:r>
      <w:r w:rsidRPr="001A59D0">
        <w:rPr>
          <w:rFonts w:cstheme="minorHAnsi"/>
          <w:i/>
          <w:iCs/>
          <w:color w:val="222222"/>
          <w:sz w:val="24"/>
          <w:szCs w:val="24"/>
          <w:shd w:val="clear" w:color="auto" w:fill="FFFFFF"/>
        </w:rPr>
        <w:t>Southern Journal of Communication</w:t>
      </w:r>
      <w:r w:rsidRPr="001A59D0">
        <w:rPr>
          <w:rFonts w:cstheme="minorHAnsi"/>
          <w:color w:val="222222"/>
          <w:sz w:val="24"/>
          <w:szCs w:val="24"/>
          <w:shd w:val="clear" w:color="auto" w:fill="FFFFFF"/>
        </w:rPr>
        <w:t>, </w:t>
      </w:r>
      <w:r w:rsidRPr="001A59D0">
        <w:rPr>
          <w:rFonts w:cstheme="minorHAnsi"/>
          <w:i/>
          <w:iCs/>
          <w:color w:val="222222"/>
          <w:sz w:val="24"/>
          <w:szCs w:val="24"/>
          <w:shd w:val="clear" w:color="auto" w:fill="FFFFFF"/>
        </w:rPr>
        <w:t>48</w:t>
      </w:r>
      <w:r w:rsidRPr="001A59D0">
        <w:rPr>
          <w:rFonts w:cstheme="minorHAnsi"/>
          <w:color w:val="222222"/>
          <w:sz w:val="24"/>
          <w:szCs w:val="24"/>
          <w:shd w:val="clear" w:color="auto" w:fill="FFFFFF"/>
        </w:rPr>
        <w:t>(2), 137-152.</w:t>
      </w:r>
    </w:p>
    <w:p w14:paraId="14257776" w14:textId="77777777" w:rsidR="006D7299" w:rsidRPr="001A59D0" w:rsidRDefault="006D7299">
      <w:pPr>
        <w:rPr>
          <w:rFonts w:cstheme="minorHAnsi"/>
          <w:sz w:val="24"/>
          <w:szCs w:val="24"/>
        </w:rPr>
      </w:pPr>
    </w:p>
    <w:sectPr w:rsidR="006D7299" w:rsidRPr="001A5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86"/>
    <w:rsid w:val="00041CD5"/>
    <w:rsid w:val="00057D9D"/>
    <w:rsid w:val="00061F94"/>
    <w:rsid w:val="000A7917"/>
    <w:rsid w:val="000C3800"/>
    <w:rsid w:val="000D79DB"/>
    <w:rsid w:val="00103471"/>
    <w:rsid w:val="00135961"/>
    <w:rsid w:val="001A59D0"/>
    <w:rsid w:val="00272023"/>
    <w:rsid w:val="00297569"/>
    <w:rsid w:val="002F61B6"/>
    <w:rsid w:val="00322819"/>
    <w:rsid w:val="00331B37"/>
    <w:rsid w:val="003B6F86"/>
    <w:rsid w:val="003C6F9B"/>
    <w:rsid w:val="00445D5E"/>
    <w:rsid w:val="004D213A"/>
    <w:rsid w:val="00505B12"/>
    <w:rsid w:val="005148B9"/>
    <w:rsid w:val="00534DE9"/>
    <w:rsid w:val="00543559"/>
    <w:rsid w:val="005842E3"/>
    <w:rsid w:val="005857E5"/>
    <w:rsid w:val="00617586"/>
    <w:rsid w:val="00627FB7"/>
    <w:rsid w:val="00643072"/>
    <w:rsid w:val="00670278"/>
    <w:rsid w:val="00686951"/>
    <w:rsid w:val="006B21A9"/>
    <w:rsid w:val="006D7299"/>
    <w:rsid w:val="00741BCD"/>
    <w:rsid w:val="0078528B"/>
    <w:rsid w:val="00826E2C"/>
    <w:rsid w:val="008324D6"/>
    <w:rsid w:val="008A6C91"/>
    <w:rsid w:val="008E5227"/>
    <w:rsid w:val="00904D0E"/>
    <w:rsid w:val="009729EB"/>
    <w:rsid w:val="009770B1"/>
    <w:rsid w:val="009A337D"/>
    <w:rsid w:val="00A26DBD"/>
    <w:rsid w:val="00AA1B50"/>
    <w:rsid w:val="00AA4DF8"/>
    <w:rsid w:val="00B02A62"/>
    <w:rsid w:val="00B77303"/>
    <w:rsid w:val="00B87372"/>
    <w:rsid w:val="00CA5E01"/>
    <w:rsid w:val="00CA7831"/>
    <w:rsid w:val="00CC5844"/>
    <w:rsid w:val="00D021DF"/>
    <w:rsid w:val="00D22E8D"/>
    <w:rsid w:val="00D44CE5"/>
    <w:rsid w:val="00D5776E"/>
    <w:rsid w:val="00E44624"/>
    <w:rsid w:val="00EA026F"/>
    <w:rsid w:val="00EA04FA"/>
    <w:rsid w:val="00EA7E12"/>
    <w:rsid w:val="00F4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231D"/>
  <w15:chartTrackingRefBased/>
  <w15:docId w15:val="{71192069-80B1-4A8C-A2FC-6130D19F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Flasher, Renee</dc:creator>
  <cp:keywords/>
  <dc:description/>
  <cp:lastModifiedBy>Cook, Kirsten</cp:lastModifiedBy>
  <cp:revision>2</cp:revision>
  <dcterms:created xsi:type="dcterms:W3CDTF">2021-10-28T18:52:00Z</dcterms:created>
  <dcterms:modified xsi:type="dcterms:W3CDTF">2021-10-28T18:52:00Z</dcterms:modified>
</cp:coreProperties>
</file>